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F63B6A"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Default="00F63B6A" w:rsidP="00F63B6A">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p>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p>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□健康與體育(□健康教育□體育)</w:t>
            </w:r>
            <w:bookmarkStart w:id="0" w:name="_GoBack"/>
            <w:bookmarkEnd w:id="0"/>
          </w:p>
        </w:tc>
      </w:tr>
      <w:tr w:rsidR="00F63B6A"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Default="00F63B6A" w:rsidP="00F63B6A">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w:t>
            </w:r>
            <w:r>
              <w:rPr>
                <w:rFonts w:ascii="Times New Roman" w:eastAsia="新細明體" w:hAnsi="Times New Roman" w:cs="Times New Roman"/>
                <w:color w:val="000000"/>
                <w:kern w:val="0"/>
                <w:szCs w:val="24"/>
              </w:rPr>
              <w:t>8</w:t>
            </w:r>
            <w:r>
              <w:rPr>
                <w:rFonts w:ascii="標楷體" w:eastAsia="標楷體" w:hAnsi="標楷體" w:cs="新細明體" w:hint="eastAsia"/>
                <w:color w:val="000000"/>
                <w:kern w:val="0"/>
                <w:szCs w:val="24"/>
              </w:rPr>
              <w:t>年級 ■9年級</w:t>
            </w:r>
          </w:p>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■上學期 ■下學期</w:t>
            </w:r>
          </w:p>
        </w:tc>
      </w:tr>
      <w:tr w:rsidR="00F63B6A"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Default="00F63B6A" w:rsidP="00F63B6A">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翰林 </w:t>
            </w:r>
            <w:r>
              <w:rPr>
                <w:rFonts w:ascii="標楷體" w:eastAsia="標楷體" w:hAnsi="標楷體" w:cs="標楷體" w:hint="eastAsia"/>
                <w:szCs w:val="24"/>
              </w:rPr>
              <w:t>版</w:t>
            </w:r>
          </w:p>
          <w:p w:rsidR="00F63B6A" w:rsidRDefault="00F63B6A" w:rsidP="00F63B6A">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學期內每週 1 節</w:t>
            </w:r>
          </w:p>
        </w:tc>
      </w:tr>
      <w:tr w:rsidR="00F63B6A"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Default="00F63B6A" w:rsidP="00F63B6A">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63B6A" w:rsidRDefault="00F63B6A" w:rsidP="00F63B6A">
            <w:pPr>
              <w:rPr>
                <w:kern w:val="2"/>
              </w:rPr>
            </w:pPr>
            <w:r>
              <w:rPr>
                <w:rFonts w:ascii="標楷體" w:eastAsia="標楷體" w:hAnsi="標楷體" w:cs="新細明體" w:hint="eastAsia"/>
                <w:color w:val="000000"/>
                <w:kern w:val="0"/>
                <w:szCs w:val="24"/>
              </w:rPr>
              <w:t>綜-J-A1 探索與開發自我潛能，善用資源促進生涯適性發展，省思自我價值，實踐生命意義。</w:t>
            </w:r>
          </w:p>
          <w:p w:rsidR="00F63B6A" w:rsidRDefault="00F63B6A" w:rsidP="00F63B6A">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rsidR="00F63B6A" w:rsidRDefault="00F63B6A" w:rsidP="00F63B6A">
            <w:r>
              <w:rPr>
                <w:rFonts w:ascii="標楷體" w:eastAsia="標楷體" w:hAnsi="標楷體" w:cs="新細明體" w:hint="eastAsia"/>
                <w:color w:val="000000"/>
                <w:kern w:val="0"/>
                <w:szCs w:val="24"/>
              </w:rPr>
              <w:t>綜-J-B3 運用創新的能力豐富生活，於個人及家庭生活環境中展現美感，提升生活品質。</w:t>
            </w:r>
          </w:p>
        </w:tc>
      </w:tr>
      <w:tr w:rsidR="00F63B6A"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Default="00F63B6A" w:rsidP="00F63B6A">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b/>
                <w:color w:val="000000"/>
                <w:kern w:val="0"/>
                <w:szCs w:val="24"/>
              </w:rPr>
              <w:t>輔導</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綜合活動領域之學習目標如下：</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（一）實踐體驗所知</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（二）省思個人意義</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（三）擴展學習經驗</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（四）鼓勵多元與尊重</w:t>
            </w:r>
          </w:p>
          <w:p w:rsidR="00F63B6A" w:rsidRDefault="00F63B6A" w:rsidP="00F63B6A">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第一學期課程目標為：</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rsidR="00F63B6A" w:rsidRDefault="00F63B6A" w:rsidP="00F63B6A">
            <w:pPr>
              <w:spacing w:line="260" w:lineRule="exact"/>
              <w:jc w:val="both"/>
              <w:rPr>
                <w:rFonts w:asciiTheme="minorHAnsi" w:hAnsiTheme="minorHAnsi" w:cstheme="minorBidi"/>
                <w:color w:val="000000" w:themeColor="text1"/>
                <w:kern w:val="2"/>
                <w:sz w:val="20"/>
                <w:szCs w:val="20"/>
              </w:rPr>
            </w:pPr>
            <w:r>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（三）透過報導，協助學生從各種不同面向分析經營家庭應承擔的責任與所需具備的能力。</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（四）藉由觀察家人對家庭的付出，發覺家庭成員所擔負的家庭責任，進而了解家庭經營能力</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（六）探討生活中的危險情境，針對地震、火災、海嘯及山難等災難，學習預防與應變之道，強化保護自己與他人的策略。</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（七）學習緊急通訊方法、野外求生裝備、庇護所搭建方式、水源尋找及取得技巧、可食野生植物辨識、無具野炊等野外求生的技能。</w:t>
            </w:r>
          </w:p>
          <w:p w:rsidR="00F63B6A" w:rsidRDefault="00F63B6A" w:rsidP="00F63B6A">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rsidR="00F63B6A" w:rsidRDefault="00F63B6A" w:rsidP="00F63B6A">
            <w:pPr>
              <w:widowControl/>
              <w:jc w:val="both"/>
              <w:rPr>
                <w:rFonts w:ascii="標楷體" w:eastAsia="標楷體" w:hAnsi="標楷體" w:cs="新細明體"/>
                <w:color w:val="000000"/>
                <w:kern w:val="0"/>
                <w:szCs w:val="24"/>
              </w:rPr>
            </w:pPr>
          </w:p>
          <w:p w:rsidR="00F63B6A" w:rsidRDefault="00F63B6A" w:rsidP="00F63B6A">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 xml:space="preserve">　　第二學期教學內容分為生命真言、創意休閒趣、綠色大地及成長ING等四個主題，各主題下共包含八個單元，單元目標如下：</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rsidR="00F63B6A" w:rsidRDefault="00F63B6A" w:rsidP="00F63B6A">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（五）經營個人生活的同時，也將環境保護的觀念融入生活當中，讓環境、資源能更被珍惜的利用。</w:t>
            </w:r>
          </w:p>
          <w:p w:rsidR="00F63B6A" w:rsidRDefault="00F63B6A" w:rsidP="00F63B6A">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（六）檢視自身在成長時的身心變化，找出自己在成長過程當中所習得的各項能力，並能分享生活中重要事件對自己的影響。</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（七）透過分享各種慶祝成長的儀式，讓學生思考成長對自己的意義。</w:t>
            </w:r>
          </w:p>
          <w:p w:rsidR="00F63B6A" w:rsidRDefault="00F63B6A" w:rsidP="00F63B6A">
            <w:pPr>
              <w:widowControl/>
              <w:jc w:val="both"/>
              <w:rPr>
                <w:rFonts w:ascii="新細明體" w:eastAsia="新細明體" w:hAnsi="新細明體" w:cs="新細明體"/>
                <w:b/>
                <w:kern w:val="0"/>
                <w:szCs w:val="24"/>
              </w:rPr>
            </w:pPr>
            <w:r>
              <w:rPr>
                <w:rFonts w:ascii="標楷體" w:eastAsia="標楷體" w:hAnsi="標楷體" w:cs="新細明體" w:hint="eastAsia"/>
                <w:snapToGrid w:val="0"/>
                <w:color w:val="000000"/>
                <w:kern w:val="0"/>
                <w:szCs w:val="20"/>
              </w:rPr>
              <w:t>（八）使用成長所習得的能力，籌備班級的畢業活動，讓學生分享自我成長的感受，並將畢業前的祝福傳遞給自己及同學。</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F63B6A" w:rsidTr="00CF3E17">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spacing w:line="396" w:lineRule="auto"/>
              <w:jc w:val="center"/>
              <w:rPr>
                <w:rFonts w:ascii="標楷體" w:eastAsia="標楷體" w:hAnsi="標楷體"/>
              </w:rPr>
            </w:pPr>
            <w:r>
              <w:rPr>
                <w:rFonts w:ascii="標楷體" w:eastAsia="標楷體" w:hAnsi="標楷體" w:hint="eastAsia"/>
              </w:rPr>
              <w:lastRenderedPageBreak/>
              <w:t>第</w:t>
            </w:r>
            <w:r>
              <w:rPr>
                <w:rFonts w:ascii="標楷體" w:eastAsia="標楷體" w:hAnsi="標楷體"/>
              </w:rPr>
              <w:br/>
            </w:r>
            <w:r>
              <w:rPr>
                <w:rFonts w:ascii="標楷體" w:eastAsia="標楷體" w:hAnsi="標楷體" w:hint="eastAsia"/>
              </w:rPr>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bCs/>
                <w:color w:val="000000" w:themeColor="text1"/>
                <w:sz w:val="20"/>
                <w:szCs w:val="20"/>
              </w:rPr>
            </w:pPr>
            <w:r>
              <w:rPr>
                <w:rFonts w:ascii="標楷體" w:eastAsia="標楷體" w:hAnsi="標楷體" w:hint="eastAsia"/>
                <w:snapToGrid w:val="0"/>
                <w:color w:val="000000" w:themeColor="text1"/>
                <w:kern w:val="0"/>
                <w:szCs w:val="20"/>
              </w:rPr>
              <w:t>單元一生命中的壓力（輔導）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bCs/>
                <w:snapToGrid w:val="0"/>
                <w:color w:val="000000" w:themeColor="text1"/>
                <w:kern w:val="0"/>
                <w:szCs w:val="20"/>
              </w:rPr>
              <w:t>1</w:t>
            </w:r>
            <w:r>
              <w:rPr>
                <w:rFonts w:ascii="標楷體" w:eastAsia="標楷體" w:hAnsi="標楷體" w:hint="eastAsia"/>
                <w:color w:val="000000" w:themeColor="text1"/>
                <w:szCs w:val="20"/>
              </w:rPr>
              <w:t>d-IV-1 覺察個人的心理困擾與影響因素，運用適當策略或資源，促進心理健康。</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p w:rsidR="00F63B6A" w:rsidRDefault="00F63B6A" w:rsidP="00F63B6A">
            <w:pPr>
              <w:autoSpaceDE w:val="0"/>
              <w:autoSpaceDN w:val="0"/>
              <w:adjustRightInd w:val="0"/>
              <w:spacing w:line="260" w:lineRule="exact"/>
              <w:jc w:val="both"/>
              <w:rPr>
                <w:bCs/>
                <w:color w:val="000000" w:themeColor="text1"/>
                <w:sz w:val="20"/>
                <w:szCs w:val="20"/>
              </w:rPr>
            </w:pPr>
            <w:r>
              <w:rPr>
                <w:rFonts w:ascii="標楷體" w:eastAsia="標楷體" w:hAnsi="標楷體" w:hint="eastAsia"/>
                <w:color w:val="000000" w:themeColor="text1"/>
                <w:szCs w:val="20"/>
              </w:rPr>
              <w:t>生J4 分析快樂、幸福與生命意義之間的關係。</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單元一生命中的壓力（輔導）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adjustRightInd w:val="0"/>
              <w:snapToGrid w:val="0"/>
              <w:spacing w:line="260" w:lineRule="exact"/>
              <w:ind w:rightChars="-45" w:right="-108"/>
              <w:jc w:val="both"/>
              <w:rPr>
                <w:color w:val="000000" w:themeColor="text1"/>
                <w:sz w:val="20"/>
                <w:szCs w:val="20"/>
              </w:rPr>
            </w:pPr>
            <w:r>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生J4 分析快樂、幸福與生命意義之間的關係。</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單元一生命中的壓力（輔導）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bCs/>
                <w:snapToGrid w:val="0"/>
                <w:color w:val="000000" w:themeColor="text1"/>
                <w:kern w:val="0"/>
                <w:szCs w:val="20"/>
              </w:rPr>
              <w:t>1d-IV-1 覺察個人的心理困擾與影響因素，運用適當策略或資源，促進心理健康。</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生J4 分析快樂、幸福與生命意義之間的關係。</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單元一生命中的壓力</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adjustRightInd w:val="0"/>
              <w:snapToGrid w:val="0"/>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1d-IV-1 覺察個人的心理困擾與影響因素，運用適當策略或資源，促進心理健康。</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單元一生命中的壓力</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單元二珍愛生命（輔導）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adjustRightInd w:val="0"/>
              <w:snapToGrid w:val="0"/>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1d-IV-1 覺察個人的心理困擾與影響因素，運用適當策略或資源，促進心理健康。</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 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bCs/>
                <w:color w:val="000000" w:themeColor="text1"/>
                <w:sz w:val="20"/>
                <w:szCs w:val="20"/>
              </w:rPr>
            </w:pPr>
            <w:r>
              <w:rPr>
                <w:rFonts w:ascii="標楷體" w:eastAsia="標楷體" w:hAnsi="標楷體" w:hint="eastAsia"/>
                <w:snapToGrid w:val="0"/>
                <w:color w:val="000000" w:themeColor="text1"/>
                <w:kern w:val="0"/>
                <w:szCs w:val="20"/>
              </w:rPr>
              <w:t>單元二珍愛生命（輔導）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adjustRightInd w:val="0"/>
              <w:snapToGrid w:val="0"/>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1d-IV-1 覺察個人的心理困擾與影響因素，運用適當策略或資源，促進心理健康。</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輔Da-IV-1 正向思考模式、生活習慣與態度的培養。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輔Da-IV-2 情緒與壓力的成因、影響調適。</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單元二珍愛生命（輔導）（第一次段考）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1學生自評：完成學生活動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bCs/>
                <w:color w:val="000000" w:themeColor="text1"/>
                <w:sz w:val="20"/>
                <w:szCs w:val="20"/>
              </w:rPr>
            </w:pPr>
            <w:r>
              <w:rPr>
                <w:rFonts w:ascii="標楷體" w:eastAsia="標楷體" w:hAnsi="標楷體" w:hint="eastAsia"/>
                <w:snapToGrid w:val="0"/>
                <w:color w:val="000000" w:themeColor="text1"/>
                <w:kern w:val="0"/>
                <w:szCs w:val="20"/>
              </w:rPr>
              <w:t>單元二珍愛生命（輔導）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1學生自評：完成學生活動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主題一生命停看聽</w:t>
            </w:r>
          </w:p>
          <w:p w:rsidR="00F63B6A" w:rsidRDefault="00F63B6A" w:rsidP="00F63B6A">
            <w:pPr>
              <w:spacing w:line="260" w:lineRule="exact"/>
              <w:jc w:val="both"/>
              <w:rPr>
                <w:bCs/>
                <w:color w:val="000000" w:themeColor="text1"/>
                <w:sz w:val="20"/>
                <w:szCs w:val="20"/>
              </w:rPr>
            </w:pPr>
            <w:r>
              <w:rPr>
                <w:rFonts w:ascii="標楷體" w:eastAsia="標楷體" w:hAnsi="標楷體" w:hint="eastAsia"/>
                <w:snapToGrid w:val="0"/>
                <w:color w:val="000000" w:themeColor="text1"/>
                <w:kern w:val="0"/>
                <w:szCs w:val="20"/>
              </w:rPr>
              <w:t>單元二珍愛生命（輔導）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輔Ac-IV-1 生命歷程、生命意義與價值的探索。</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輔Ac-IV-2 珍惜、尊重與善待各種生命。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1學生自評：完成學生活動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color w:val="000000" w:themeColor="text1"/>
                <w:sz w:val="20"/>
                <w:szCs w:val="20"/>
              </w:rPr>
            </w:pPr>
            <w:r>
              <w:rPr>
                <w:rFonts w:ascii="標楷體" w:eastAsia="標楷體" w:hAnsi="標楷體" w:hint="eastAsia"/>
                <w:b/>
                <w:color w:val="000000" w:themeColor="text1"/>
                <w:szCs w:val="20"/>
              </w:rPr>
              <w:t>【生命教育】</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生J3 反思生老病死與人生無常的現象，探索人生的目的、價值與意義。</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bCs/>
                <w:color w:val="000000" w:themeColor="text1"/>
                <w:sz w:val="20"/>
                <w:szCs w:val="20"/>
              </w:rPr>
            </w:pPr>
            <w:r>
              <w:rPr>
                <w:rFonts w:ascii="標楷體" w:eastAsia="標楷體" w:hAnsi="標楷體" w:hint="eastAsia"/>
                <w:snapToGrid w:val="0"/>
                <w:color w:val="000000" w:themeColor="text1"/>
                <w:kern w:val="0"/>
                <w:szCs w:val="20"/>
              </w:rPr>
              <w:t>單元一生涯大航道（輔導）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w:t>
            </w:r>
            <w:r>
              <w:rPr>
                <w:rFonts w:ascii="標楷體" w:eastAsia="標楷體" w:hAnsi="標楷體" w:hint="eastAsia"/>
                <w:snapToGrid w:val="0"/>
                <w:color w:val="000000" w:themeColor="text1"/>
                <w:kern w:val="0"/>
                <w:szCs w:val="20"/>
              </w:rPr>
              <w:lastRenderedPageBreak/>
              <w:t>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lastRenderedPageBreak/>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w:t>
            </w:r>
            <w:r>
              <w:rPr>
                <w:rFonts w:ascii="標楷體" w:eastAsia="標楷體" w:hAnsi="標楷體" w:hint="eastAsia"/>
                <w:color w:val="000000" w:themeColor="text1"/>
                <w:szCs w:val="20"/>
              </w:rPr>
              <w:lastRenderedPageBreak/>
              <w:t>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lastRenderedPageBreak/>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單元一生涯大航道（輔導）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單元一生涯大航道（輔導）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2c-IV- 2有效蒐集、分析及開發各項資源，做出合宜的決定與運用。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單元一生涯大航道（輔導）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單元一生涯大航道（輔導）（第二次段考）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單元一生涯大航道（輔導）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單元二生涯夢想號（輔導）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單元二生涯夢想號（輔導）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單元二生涯夢想號（輔導）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單元二生涯夢想號（輔導）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w:t>
            </w:r>
            <w:r>
              <w:rPr>
                <w:rFonts w:ascii="標楷體" w:eastAsia="標楷體" w:hAnsi="標楷體" w:hint="eastAsia"/>
                <w:snapToGrid w:val="0"/>
                <w:color w:val="000000" w:themeColor="text1"/>
                <w:kern w:val="0"/>
                <w:szCs w:val="20"/>
              </w:rPr>
              <w:lastRenderedPageBreak/>
              <w:t>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lastRenderedPageBreak/>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w:t>
            </w:r>
            <w:r>
              <w:rPr>
                <w:rFonts w:ascii="標楷體" w:eastAsia="標楷體" w:hAnsi="標楷體" w:hint="eastAsia"/>
                <w:color w:val="000000" w:themeColor="text1"/>
                <w:szCs w:val="20"/>
              </w:rPr>
              <w:lastRenderedPageBreak/>
              <w:t>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lastRenderedPageBreak/>
              <w:t>藝術領域</w:t>
            </w:r>
          </w:p>
        </w:tc>
      </w:tr>
      <w:tr w:rsidR="00F63B6A" w:rsidTr="00CF3E17">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主題二生涯航海王</w:t>
            </w:r>
          </w:p>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單元二生涯夢想號（輔導）(第三次段考)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1c-IV-1 澄清個人價值觀，並統整個人能力、特質、家人期許及相關生涯與升學資訊。</w:t>
            </w:r>
          </w:p>
          <w:p w:rsidR="00F63B6A" w:rsidRDefault="00F63B6A" w:rsidP="00F63B6A">
            <w:pPr>
              <w:spacing w:line="260" w:lineRule="exact"/>
              <w:jc w:val="both"/>
              <w:rPr>
                <w:rFonts w:ascii="標楷體" w:eastAsia="標楷體" w:hAnsi="標楷體"/>
                <w:color w:val="000000" w:themeColor="text1"/>
                <w:szCs w:val="20"/>
              </w:rPr>
            </w:pPr>
            <w:r>
              <w:rPr>
                <w:rFonts w:ascii="標楷體" w:eastAsia="標楷體" w:hAnsi="標楷體" w:hint="eastAsia"/>
                <w:color w:val="000000" w:themeColor="text1"/>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rFonts w:asciiTheme="minorHAnsi" w:hAnsiTheme="minorHAnsi"/>
                <w:color w:val="000000" w:themeColor="text1"/>
                <w:sz w:val="20"/>
                <w:szCs w:val="20"/>
              </w:rPr>
            </w:pPr>
            <w:r>
              <w:rPr>
                <w:rFonts w:ascii="標楷體" w:eastAsia="標楷體" w:hAnsi="標楷體" w:hint="eastAsia"/>
                <w:color w:val="000000" w:themeColor="text1"/>
                <w:szCs w:val="20"/>
              </w:rPr>
              <w:t>輔Cc-IV-1 生涯進路的規劃與資源運用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1學生自評、學生互評</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2教師評：學生課堂表現。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napToGrid w:val="0"/>
                <w:color w:val="000000" w:themeColor="text1"/>
                <w:kern w:val="0"/>
                <w:sz w:val="20"/>
                <w:szCs w:val="20"/>
              </w:rPr>
            </w:pPr>
            <w:r>
              <w:rPr>
                <w:rFonts w:ascii="標楷體" w:eastAsia="標楷體" w:hAnsi="標楷體" w:hint="eastAsia"/>
                <w:b/>
                <w:bCs/>
                <w:snapToGrid w:val="0"/>
                <w:color w:val="000000" w:themeColor="text1"/>
                <w:kern w:val="0"/>
                <w:szCs w:val="20"/>
              </w:rPr>
              <w:t>【閱讀素養教育】</w:t>
            </w:r>
          </w:p>
          <w:p w:rsidR="00F63B6A" w:rsidRDefault="00F63B6A" w:rsidP="00F63B6A">
            <w:pPr>
              <w:spacing w:line="260" w:lineRule="exact"/>
              <w:jc w:val="both"/>
              <w:rPr>
                <w:color w:val="000000" w:themeColor="text1"/>
                <w:kern w:val="2"/>
                <w:sz w:val="20"/>
                <w:szCs w:val="20"/>
              </w:rPr>
            </w:pPr>
            <w:r>
              <w:rPr>
                <w:rFonts w:ascii="標楷體" w:eastAsia="標楷體" w:hAnsi="標楷體" w:hint="eastAsia"/>
                <w:color w:val="000000" w:themeColor="text1"/>
                <w:szCs w:val="20"/>
              </w:rPr>
              <w:t>閱J4 除紙本閱讀之外，依學習需求選擇適當的閱讀媒材，並了解如何利用適當的管道獲得文本資源。</w:t>
            </w:r>
          </w:p>
          <w:p w:rsidR="00F63B6A" w:rsidRDefault="00F63B6A" w:rsidP="00F63B6A">
            <w:pPr>
              <w:spacing w:line="260" w:lineRule="exact"/>
              <w:jc w:val="both"/>
              <w:rPr>
                <w:color w:val="000000" w:themeColor="text1"/>
                <w:sz w:val="20"/>
                <w:szCs w:val="20"/>
              </w:rPr>
            </w:pPr>
            <w:r>
              <w:rPr>
                <w:rFonts w:ascii="標楷體" w:eastAsia="標楷體" w:hAnsi="標楷體" w:hint="eastAsia"/>
                <w:color w:val="000000" w:themeColor="text1"/>
                <w:szCs w:val="20"/>
              </w:rPr>
              <w:t>閱J5 活用文本，認識並運用滿足基本生活需求所使用之文本。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藝術領域</w:t>
            </w:r>
          </w:p>
        </w:tc>
      </w:tr>
      <w:tr w:rsidR="00F63B6A" w:rsidTr="00CF3E17">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kern w:val="2"/>
                <w:sz w:val="20"/>
                <w:szCs w:val="20"/>
              </w:rPr>
            </w:pPr>
            <w:r>
              <w:rPr>
                <w:rFonts w:ascii="標楷體" w:eastAsia="標楷體" w:hAnsi="標楷體" w:hint="eastAsia"/>
                <w:bCs/>
                <w:szCs w:val="20"/>
              </w:rPr>
              <w:t>口語評量—問答、口頭報告高層次紙筆評量—書面心得</w:t>
            </w:r>
          </w:p>
          <w:p w:rsidR="00F63B6A" w:rsidRDefault="00F63B6A" w:rsidP="00F63B6A">
            <w:pPr>
              <w:spacing w:line="260" w:lineRule="exact"/>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sz w:val="20"/>
                <w:szCs w:val="20"/>
              </w:rPr>
            </w:pPr>
            <w:r>
              <w:rPr>
                <w:rFonts w:ascii="標楷體" w:eastAsia="標楷體" w:hAnsi="標楷體" w:hint="eastAsia"/>
                <w:bCs/>
                <w:szCs w:val="20"/>
              </w:rPr>
              <w:t>涯J12 發展及評估生涯決定的策略。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健康與體育領域</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kern w:val="2"/>
                <w:sz w:val="20"/>
                <w:szCs w:val="20"/>
              </w:rPr>
            </w:pPr>
            <w:r>
              <w:rPr>
                <w:rFonts w:ascii="標楷體" w:eastAsia="標楷體" w:hAnsi="標楷體" w:hint="eastAsia"/>
                <w:bCs/>
                <w:szCs w:val="20"/>
              </w:rPr>
              <w:t>口語評量—問答、口頭報告高層次紙筆評量—書面心得</w:t>
            </w:r>
          </w:p>
          <w:p w:rsidR="00F63B6A" w:rsidRDefault="00F63B6A" w:rsidP="00F63B6A">
            <w:pPr>
              <w:spacing w:line="260" w:lineRule="exact"/>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sz w:val="20"/>
                <w:szCs w:val="20"/>
              </w:rPr>
            </w:pPr>
            <w:r>
              <w:rPr>
                <w:rFonts w:ascii="標楷體" w:eastAsia="標楷體" w:hAnsi="標楷體" w:hint="eastAsia"/>
                <w:bCs/>
                <w:szCs w:val="20"/>
              </w:rPr>
              <w:t>涯J12 發展及評估生涯決定的策略。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健康與體育領域</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kern w:val="2"/>
                <w:sz w:val="20"/>
                <w:szCs w:val="20"/>
              </w:rPr>
            </w:pPr>
            <w:r>
              <w:rPr>
                <w:rFonts w:ascii="標楷體" w:eastAsia="標楷體" w:hAnsi="標楷體" w:hint="eastAsia"/>
                <w:bCs/>
                <w:szCs w:val="20"/>
              </w:rPr>
              <w:t>口語評量—問答、口頭報告高層次紙筆評量—書面心得</w:t>
            </w:r>
          </w:p>
          <w:p w:rsidR="00F63B6A" w:rsidRDefault="00F63B6A" w:rsidP="00F63B6A">
            <w:pPr>
              <w:spacing w:line="260" w:lineRule="exact"/>
              <w:jc w:val="both"/>
              <w:rPr>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sz w:val="20"/>
                <w:szCs w:val="20"/>
              </w:rPr>
            </w:pPr>
            <w:r>
              <w:rPr>
                <w:rFonts w:ascii="標楷體" w:eastAsia="標楷體" w:hAnsi="標楷體" w:hint="eastAsia"/>
                <w:bCs/>
                <w:szCs w:val="20"/>
              </w:rPr>
              <w:t>涯J12 發展及評估生涯決定的策略。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健康與體育領域</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實作評量—訪問、</w:t>
            </w:r>
            <w:r>
              <w:rPr>
                <w:rFonts w:ascii="標楷體" w:eastAsia="標楷體" w:hAnsi="標楷體" w:hint="eastAsia"/>
                <w:bCs/>
                <w:szCs w:val="20"/>
              </w:rPr>
              <w:t>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bCs/>
                <w:sz w:val="20"/>
                <w:szCs w:val="20"/>
              </w:rPr>
            </w:pPr>
            <w:r>
              <w:rPr>
                <w:rFonts w:ascii="標楷體" w:eastAsia="標楷體" w:hAnsi="標楷體" w:hint="eastAsia"/>
                <w:bCs/>
                <w:szCs w:val="20"/>
              </w:rPr>
              <w:t>涯J12 發展及評估生涯決定的策略。</w:t>
            </w:r>
          </w:p>
          <w:p w:rsidR="00F63B6A" w:rsidRDefault="00F63B6A" w:rsidP="00F63B6A">
            <w:pPr>
              <w:spacing w:line="260" w:lineRule="exact"/>
              <w:jc w:val="both"/>
              <w:rPr>
                <w:sz w:val="20"/>
                <w:szCs w:val="20"/>
              </w:rPr>
            </w:pPr>
            <w:r>
              <w:rPr>
                <w:rFonts w:ascii="標楷體" w:eastAsia="標楷體" w:hAnsi="標楷體" w:hint="eastAsia"/>
                <w:bCs/>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z w:val="20"/>
                <w:szCs w:val="20"/>
              </w:rPr>
            </w:pPr>
            <w:r>
              <w:rPr>
                <w:rFonts w:ascii="標楷體" w:eastAsia="標楷體" w:hAnsi="標楷體" w:hint="eastAsia"/>
                <w:bCs/>
                <w:szCs w:val="20"/>
              </w:rPr>
              <w:t>健康與體育領域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國語文領域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生涯交叉口</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實作評量—訪問、</w:t>
            </w:r>
            <w:r>
              <w:rPr>
                <w:rFonts w:ascii="標楷體" w:eastAsia="標楷體" w:hAnsi="標楷體" w:hint="eastAsia"/>
                <w:bCs/>
                <w:szCs w:val="20"/>
              </w:rPr>
              <w:t>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bCs/>
                <w:sz w:val="20"/>
                <w:szCs w:val="20"/>
              </w:rPr>
            </w:pPr>
            <w:r>
              <w:rPr>
                <w:rFonts w:ascii="標楷體" w:eastAsia="標楷體" w:hAnsi="標楷體" w:hint="eastAsia"/>
                <w:bCs/>
                <w:szCs w:val="20"/>
              </w:rPr>
              <w:t>涯J12 發展及評估生涯決定的策略。</w:t>
            </w:r>
          </w:p>
          <w:p w:rsidR="00F63B6A" w:rsidRDefault="00F63B6A" w:rsidP="00F63B6A">
            <w:pPr>
              <w:spacing w:line="260" w:lineRule="exact"/>
              <w:jc w:val="both"/>
              <w:rPr>
                <w:sz w:val="20"/>
                <w:szCs w:val="20"/>
              </w:rPr>
            </w:pPr>
            <w:r>
              <w:rPr>
                <w:rFonts w:ascii="標楷體" w:eastAsia="標楷體" w:hAnsi="標楷體" w:hint="eastAsia"/>
                <w:bCs/>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z w:val="20"/>
                <w:szCs w:val="20"/>
              </w:rPr>
            </w:pPr>
            <w:r>
              <w:rPr>
                <w:rFonts w:ascii="標楷體" w:eastAsia="標楷體" w:hAnsi="標楷體" w:hint="eastAsia"/>
                <w:bCs/>
                <w:szCs w:val="20"/>
              </w:rPr>
              <w:t>健康與體育領域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國語文領域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實作評量—訪問、</w:t>
            </w:r>
            <w:r>
              <w:rPr>
                <w:rFonts w:ascii="標楷體" w:eastAsia="標楷體" w:hAnsi="標楷體" w:hint="eastAsia"/>
                <w:bCs/>
                <w:szCs w:val="20"/>
              </w:rPr>
              <w:t>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bCs/>
                <w:sz w:val="20"/>
                <w:szCs w:val="20"/>
              </w:rPr>
            </w:pPr>
            <w:r>
              <w:rPr>
                <w:rFonts w:ascii="標楷體" w:eastAsia="標楷體" w:hAnsi="標楷體" w:hint="eastAsia"/>
                <w:bCs/>
                <w:szCs w:val="20"/>
              </w:rPr>
              <w:t>涯J12 發展及評估生涯決定的策略。</w:t>
            </w:r>
          </w:p>
          <w:p w:rsidR="00F63B6A" w:rsidRDefault="00F63B6A" w:rsidP="00F63B6A">
            <w:pPr>
              <w:spacing w:line="260" w:lineRule="exact"/>
              <w:jc w:val="both"/>
              <w:rPr>
                <w:sz w:val="20"/>
                <w:szCs w:val="20"/>
              </w:rPr>
            </w:pPr>
            <w:r>
              <w:rPr>
                <w:rFonts w:ascii="標楷體" w:eastAsia="標楷體" w:hAnsi="標楷體" w:hint="eastAsia"/>
                <w:bCs/>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z w:val="20"/>
                <w:szCs w:val="20"/>
              </w:rPr>
            </w:pPr>
            <w:r>
              <w:rPr>
                <w:rFonts w:ascii="標楷體" w:eastAsia="標楷體" w:hAnsi="標楷體" w:hint="eastAsia"/>
                <w:bCs/>
                <w:szCs w:val="20"/>
              </w:rPr>
              <w:t>健康與體育領域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國語文領域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EC58A1" w:rsidRDefault="00F63B6A" w:rsidP="00F63B6A">
            <w:pPr>
              <w:spacing w:line="260" w:lineRule="exact"/>
              <w:jc w:val="both"/>
              <w:rPr>
                <w:color w:val="FF0000"/>
                <w:kern w:val="2"/>
                <w:sz w:val="20"/>
                <w:szCs w:val="20"/>
              </w:rPr>
            </w:pPr>
            <w:r w:rsidRPr="00EC58A1">
              <w:rPr>
                <w:rFonts w:ascii="標楷體" w:eastAsia="標楷體" w:hAnsi="標楷體" w:hint="eastAsia"/>
                <w:bCs/>
                <w:snapToGrid w:val="0"/>
                <w:color w:val="FF0000"/>
                <w:kern w:val="0"/>
                <w:szCs w:val="20"/>
              </w:rPr>
              <w:t>主題五</w:t>
            </w:r>
            <w:r w:rsidRPr="00EC58A1">
              <w:rPr>
                <w:rFonts w:ascii="標楷體" w:eastAsia="標楷體" w:hAnsi="標楷體" w:hint="eastAsia"/>
                <w:bCs/>
                <w:color w:val="FF0000"/>
                <w:szCs w:val="20"/>
              </w:rPr>
              <w:t>航向未來</w:t>
            </w:r>
          </w:p>
          <w:p w:rsidR="00F63B6A" w:rsidRPr="00EC58A1" w:rsidRDefault="00F63B6A" w:rsidP="00F63B6A">
            <w:pPr>
              <w:spacing w:line="260" w:lineRule="exact"/>
              <w:jc w:val="both"/>
              <w:rPr>
                <w:rFonts w:ascii="標楷體" w:eastAsia="標楷體" w:hAnsi="標楷體"/>
                <w:snapToGrid w:val="0"/>
                <w:color w:val="FF0000"/>
                <w:kern w:val="0"/>
                <w:szCs w:val="20"/>
              </w:rPr>
            </w:pPr>
            <w:r w:rsidRPr="00EC58A1">
              <w:rPr>
                <w:rFonts w:ascii="標楷體" w:eastAsia="標楷體" w:hAnsi="標楷體" w:hint="eastAsia"/>
                <w:bCs/>
                <w:snapToGrid w:val="0"/>
                <w:color w:val="FF0000"/>
                <w:kern w:val="0"/>
                <w:szCs w:val="20"/>
              </w:rPr>
              <w:t>單元2</w:t>
            </w:r>
            <w:r w:rsidRPr="00EC58A1">
              <w:rPr>
                <w:rFonts w:ascii="標楷體" w:eastAsia="標楷體" w:hAnsi="標楷體" w:hint="eastAsia"/>
                <w:bCs/>
                <w:color w:val="FF0000"/>
                <w:szCs w:val="20"/>
              </w:rPr>
              <w:t>生涯大企畫</w:t>
            </w:r>
            <w:r w:rsidRPr="00EC58A1">
              <w:rPr>
                <w:rFonts w:ascii="標楷體" w:eastAsia="標楷體" w:hAnsi="標楷體" w:hint="eastAsia"/>
                <w:snapToGrid w:val="0"/>
                <w:color w:val="FF0000"/>
                <w:kern w:val="0"/>
                <w:szCs w:val="20"/>
              </w:rPr>
              <w:t>（輔導）</w:t>
            </w:r>
          </w:p>
          <w:p w:rsidR="00EC58A1" w:rsidRPr="00EC58A1" w:rsidRDefault="00EC58A1" w:rsidP="00F63B6A">
            <w:pPr>
              <w:spacing w:line="260" w:lineRule="exact"/>
              <w:jc w:val="both"/>
              <w:rPr>
                <w:color w:val="FF0000"/>
                <w:sz w:val="20"/>
                <w:szCs w:val="20"/>
              </w:rPr>
            </w:pPr>
            <w:r w:rsidRPr="00EC58A1">
              <w:rPr>
                <w:rFonts w:ascii="標楷體" w:eastAsia="標楷體" w:hAnsi="標楷體" w:hint="eastAsia"/>
                <w:snapToGrid w:val="0"/>
                <w:color w:val="FF0000"/>
                <w:kern w:val="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EC58A1" w:rsidRDefault="00F63B6A" w:rsidP="00F63B6A">
            <w:pPr>
              <w:spacing w:line="260" w:lineRule="exact"/>
              <w:jc w:val="both"/>
              <w:rPr>
                <w:bCs/>
                <w:snapToGrid w:val="0"/>
                <w:color w:val="FF0000"/>
                <w:kern w:val="0"/>
                <w:sz w:val="20"/>
                <w:szCs w:val="20"/>
              </w:rPr>
            </w:pPr>
            <w:r w:rsidRPr="00EC58A1">
              <w:rPr>
                <w:rFonts w:ascii="標楷體" w:eastAsia="標楷體" w:hAnsi="標楷體" w:hint="eastAsia"/>
                <w:color w:val="FF0000"/>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EC58A1" w:rsidRDefault="00F63B6A" w:rsidP="00F63B6A">
            <w:pPr>
              <w:spacing w:line="260" w:lineRule="exact"/>
              <w:jc w:val="both"/>
              <w:rPr>
                <w:color w:val="FF0000"/>
                <w:kern w:val="2"/>
                <w:sz w:val="20"/>
                <w:szCs w:val="20"/>
              </w:rPr>
            </w:pPr>
            <w:r w:rsidRPr="00EC58A1">
              <w:rPr>
                <w:rFonts w:ascii="標楷體" w:eastAsia="標楷體" w:hAnsi="標楷體" w:hint="eastAsia"/>
                <w:color w:val="FF0000"/>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口語評量—問答、口頭報告</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sz w:val="20"/>
                <w:szCs w:val="20"/>
              </w:rPr>
            </w:pPr>
            <w:r>
              <w:rPr>
                <w:rFonts w:ascii="標楷體" w:eastAsia="標楷體" w:hAnsi="標楷體" w:hint="eastAsia"/>
                <w:bCs/>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國語文領域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主題五</w:t>
            </w:r>
            <w:r>
              <w:rPr>
                <w:rFonts w:ascii="標楷體" w:eastAsia="標楷體" w:hAnsi="標楷體" w:hint="eastAsia"/>
                <w:bCs/>
                <w:szCs w:val="20"/>
              </w:rPr>
              <w:t>航向未來</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生涯大企畫</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zCs w:val="20"/>
              </w:rPr>
              <w:t>1c-IV-3 運用生涯規劃方法與資源，培養生涯抉擇能力，以發展個人生涯進路。</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szCs w:val="20"/>
              </w:rPr>
              <w:t>輔Cc-IV-2 生涯決策、行動與調適。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口語評量—問答、口頭報告</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z w:val="20"/>
                <w:szCs w:val="20"/>
              </w:rPr>
            </w:pPr>
            <w:r>
              <w:rPr>
                <w:rFonts w:ascii="標楷體" w:eastAsia="標楷體" w:hAnsi="標楷體" w:hint="eastAsia"/>
                <w:b/>
                <w:szCs w:val="20"/>
              </w:rPr>
              <w:t>【生涯規劃教育】</w:t>
            </w:r>
          </w:p>
          <w:p w:rsidR="00F63B6A" w:rsidRDefault="00F63B6A" w:rsidP="00F63B6A">
            <w:pPr>
              <w:spacing w:line="260" w:lineRule="exact"/>
              <w:jc w:val="both"/>
              <w:rPr>
                <w:sz w:val="20"/>
                <w:szCs w:val="20"/>
              </w:rPr>
            </w:pPr>
            <w:r>
              <w:rPr>
                <w:rFonts w:ascii="標楷體" w:eastAsia="標楷體" w:hAnsi="標楷體" w:hint="eastAsia"/>
                <w:bCs/>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國語文領域</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成長進化史</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輔Ab-IV-1 青少年身心發展與調適。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口語評量—問答、口頭報告、小組討論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高層次紙筆評量—書面心得整理、書面採訪整理</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實作評量—分組演戲活動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【生命教育】</w:t>
            </w:r>
          </w:p>
          <w:p w:rsidR="00F63B6A" w:rsidRDefault="00F63B6A" w:rsidP="00F63B6A">
            <w:pPr>
              <w:spacing w:line="260" w:lineRule="exact"/>
              <w:jc w:val="both"/>
              <w:rPr>
                <w:sz w:val="20"/>
                <w:szCs w:val="20"/>
              </w:rPr>
            </w:pPr>
            <w:r>
              <w:rPr>
                <w:rFonts w:ascii="標楷體" w:eastAsia="標楷體" w:hAnsi="標楷體" w:hint="eastAsia"/>
                <w:szCs w:val="20"/>
              </w:rPr>
              <w:t>生J5 覺察生活中的各種迷思，在生活作息、健康促進、飲食運動、休閒 娛樂、人我關係等課題上進行價值思辨，尋求解決之道。</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成長進化史</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輔Ab-IV-1 青少年身心發展與調適。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口語評量—問答、口頭報告、小組討論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高層次紙筆評量—書面心得整理、書面採訪整理</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實作評量—分組演戲活動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【生命教育】</w:t>
            </w:r>
          </w:p>
          <w:p w:rsidR="00F63B6A" w:rsidRDefault="00F63B6A" w:rsidP="00F63B6A">
            <w:pPr>
              <w:spacing w:line="260" w:lineRule="exact"/>
              <w:jc w:val="both"/>
              <w:rPr>
                <w:sz w:val="20"/>
                <w:szCs w:val="20"/>
              </w:rPr>
            </w:pPr>
            <w:r>
              <w:rPr>
                <w:rFonts w:ascii="標楷體" w:eastAsia="標楷體" w:hAnsi="標楷體" w:hint="eastAsia"/>
                <w:szCs w:val="20"/>
              </w:rPr>
              <w:t>生J5 覺察生活中的各種迷思，在生活作息、健康促進、飲食運動、休閒 娛樂、人我關係等課題上進行價值思辨，尋求解決之道。</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szCs w:val="20"/>
              </w:rPr>
              <w:t>成長進化史</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輔Ab-IV-1 青少年身心發展與調適。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口語評量—問答、口頭報告、小組討論</w:t>
            </w:r>
          </w:p>
          <w:p w:rsidR="00F63B6A" w:rsidRDefault="00F63B6A" w:rsidP="00F63B6A">
            <w:pPr>
              <w:spacing w:line="260" w:lineRule="exact"/>
              <w:jc w:val="both"/>
              <w:rPr>
                <w:bCs/>
                <w:snapToGrid w:val="0"/>
                <w:kern w:val="0"/>
                <w:sz w:val="20"/>
                <w:szCs w:val="20"/>
              </w:rPr>
            </w:pPr>
            <w:r>
              <w:rPr>
                <w:rFonts w:ascii="標楷體" w:eastAsia="標楷體" w:hAnsi="標楷體" w:hint="eastAsia"/>
                <w:bCs/>
                <w:snapToGrid w:val="0"/>
                <w:kern w:val="0"/>
                <w:szCs w:val="20"/>
              </w:rPr>
              <w:t>高層次紙筆評量—書面心得整理、書面採訪整理</w:t>
            </w:r>
          </w:p>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實作評量—分組演戲活動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【生命教育】</w:t>
            </w:r>
          </w:p>
          <w:p w:rsidR="00F63B6A" w:rsidRDefault="00F63B6A" w:rsidP="00F63B6A">
            <w:pPr>
              <w:spacing w:line="260" w:lineRule="exact"/>
              <w:jc w:val="both"/>
              <w:rPr>
                <w:sz w:val="20"/>
                <w:szCs w:val="20"/>
              </w:rPr>
            </w:pPr>
            <w:r>
              <w:rPr>
                <w:rFonts w:ascii="標楷體" w:eastAsia="標楷體" w:hAnsi="標楷體" w:hint="eastAsia"/>
                <w:szCs w:val="20"/>
              </w:rPr>
              <w:t>生J5 覺察生活中的各種迷思，在生活作息、健康促進、飲食運動、休閒 娛樂、人我關係等課題上進行價值思辨，尋求解決之道。</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薪傳雙響砲</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輔Ab-IV-1 少年身心發展與調適。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口語評量—問答、口頭報告</w:t>
            </w:r>
          </w:p>
          <w:p w:rsidR="00F63B6A" w:rsidRDefault="00F63B6A" w:rsidP="00F63B6A">
            <w:pPr>
              <w:spacing w:line="260" w:lineRule="exact"/>
              <w:jc w:val="both"/>
              <w:rPr>
                <w:kern w:val="2"/>
                <w:sz w:val="20"/>
                <w:szCs w:val="20"/>
              </w:rPr>
            </w:pPr>
            <w:r>
              <w:rPr>
                <w:rFonts w:ascii="標楷體" w:eastAsia="標楷體" w:hAnsi="標楷體" w:hint="eastAsia"/>
                <w:snapToGrid w:val="0"/>
                <w:kern w:val="0"/>
                <w:szCs w:val="20"/>
              </w:rPr>
              <w:t>實作評量—訪問、分組討論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【生涯規劃教育】</w:t>
            </w:r>
          </w:p>
          <w:p w:rsidR="00F63B6A" w:rsidRDefault="00F63B6A" w:rsidP="00F63B6A">
            <w:pPr>
              <w:spacing w:line="260" w:lineRule="exact"/>
              <w:jc w:val="both"/>
              <w:rPr>
                <w:sz w:val="20"/>
                <w:szCs w:val="20"/>
              </w:rPr>
            </w:pPr>
            <w:r>
              <w:rPr>
                <w:rFonts w:ascii="標楷體" w:eastAsia="標楷體" w:hAnsi="標楷體" w:hint="eastAsia"/>
                <w:szCs w:val="20"/>
              </w:rPr>
              <w:t>涯J11 分析影響個人生涯決定的因素。</w:t>
            </w:r>
          </w:p>
          <w:p w:rsidR="00F63B6A" w:rsidRDefault="00F63B6A" w:rsidP="00F63B6A">
            <w:pPr>
              <w:spacing w:line="260" w:lineRule="exact"/>
              <w:jc w:val="both"/>
              <w:rPr>
                <w:sz w:val="20"/>
                <w:szCs w:val="20"/>
              </w:rPr>
            </w:pPr>
            <w:r>
              <w:rPr>
                <w:rFonts w:ascii="標楷體" w:eastAsia="標楷體" w:hAnsi="標楷體" w:hint="eastAsia"/>
                <w:szCs w:val="20"/>
              </w:rPr>
              <w:t>涯J12 發展及評估生涯決定的策略。</w:t>
            </w:r>
          </w:p>
          <w:p w:rsidR="00F63B6A" w:rsidRDefault="00F63B6A" w:rsidP="00F63B6A">
            <w:pPr>
              <w:spacing w:line="260" w:lineRule="exact"/>
              <w:jc w:val="both"/>
              <w:rPr>
                <w:sz w:val="20"/>
                <w:szCs w:val="20"/>
              </w:rPr>
            </w:pPr>
            <w:r>
              <w:rPr>
                <w:rFonts w:ascii="標楷體" w:eastAsia="標楷體" w:hAnsi="標楷體" w:hint="eastAsia"/>
                <w:szCs w:val="20"/>
              </w:rPr>
              <w:t>涯J13 培養生涯規劃及執行的能力。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FD4F64" w:rsidRDefault="00F63B6A" w:rsidP="00F63B6A">
            <w:pPr>
              <w:spacing w:line="260" w:lineRule="exact"/>
              <w:jc w:val="both"/>
              <w:rPr>
                <w:color w:val="FF0000"/>
                <w:kern w:val="2"/>
                <w:sz w:val="20"/>
                <w:szCs w:val="20"/>
              </w:rPr>
            </w:pPr>
            <w:r w:rsidRPr="00FD4F64">
              <w:rPr>
                <w:rFonts w:ascii="標楷體" w:eastAsia="標楷體" w:hAnsi="標楷體" w:hint="eastAsia"/>
                <w:bCs/>
                <w:snapToGrid w:val="0"/>
                <w:color w:val="FF0000"/>
                <w:kern w:val="0"/>
                <w:szCs w:val="20"/>
              </w:rPr>
              <w:t>主題六</w:t>
            </w:r>
            <w:r w:rsidRPr="00FD4F64">
              <w:rPr>
                <w:rFonts w:ascii="標楷體" w:eastAsia="標楷體" w:hAnsi="標楷體" w:hint="eastAsia"/>
                <w:bCs/>
                <w:color w:val="FF0000"/>
                <w:szCs w:val="20"/>
              </w:rPr>
              <w:t>生命齊步走</w:t>
            </w:r>
          </w:p>
          <w:p w:rsidR="00F63B6A" w:rsidRPr="00FD4F64" w:rsidRDefault="00F63B6A" w:rsidP="00F63B6A">
            <w:pPr>
              <w:spacing w:line="260" w:lineRule="exact"/>
              <w:jc w:val="both"/>
              <w:rPr>
                <w:rFonts w:ascii="標楷體" w:eastAsia="標楷體" w:hAnsi="標楷體"/>
                <w:snapToGrid w:val="0"/>
                <w:color w:val="FF0000"/>
                <w:kern w:val="0"/>
                <w:szCs w:val="20"/>
              </w:rPr>
            </w:pPr>
            <w:r w:rsidRPr="00FD4F64">
              <w:rPr>
                <w:rFonts w:ascii="標楷體" w:eastAsia="標楷體" w:hAnsi="標楷體" w:hint="eastAsia"/>
                <w:bCs/>
                <w:snapToGrid w:val="0"/>
                <w:color w:val="FF0000"/>
                <w:kern w:val="0"/>
                <w:szCs w:val="20"/>
              </w:rPr>
              <w:t>單元2</w:t>
            </w:r>
            <w:r w:rsidRPr="00FD4F64">
              <w:rPr>
                <w:rFonts w:ascii="標楷體" w:eastAsia="標楷體" w:hAnsi="標楷體" w:hint="eastAsia"/>
                <w:bCs/>
                <w:color w:val="FF0000"/>
                <w:szCs w:val="20"/>
              </w:rPr>
              <w:t>薪傳雙響砲</w:t>
            </w:r>
            <w:r w:rsidRPr="00FD4F64">
              <w:rPr>
                <w:rFonts w:ascii="標楷體" w:eastAsia="標楷體" w:hAnsi="標楷體" w:hint="eastAsia"/>
                <w:snapToGrid w:val="0"/>
                <w:color w:val="FF0000"/>
                <w:kern w:val="0"/>
                <w:szCs w:val="20"/>
              </w:rPr>
              <w:t>（輔導）</w:t>
            </w:r>
          </w:p>
          <w:p w:rsidR="00FD4F64" w:rsidRPr="00FD4F64" w:rsidRDefault="00E07A23" w:rsidP="00F63B6A">
            <w:pPr>
              <w:spacing w:line="260" w:lineRule="exact"/>
              <w:jc w:val="both"/>
              <w:rPr>
                <w:color w:val="FF0000"/>
                <w:sz w:val="20"/>
                <w:szCs w:val="20"/>
              </w:rPr>
            </w:pPr>
            <w:r>
              <w:rPr>
                <w:rFonts w:ascii="標楷體" w:eastAsia="標楷體" w:hAnsi="標楷體" w:hint="eastAsia"/>
                <w:snapToGrid w:val="0"/>
                <w:color w:val="FF0000"/>
                <w:kern w:val="0"/>
                <w:szCs w:val="20"/>
              </w:rPr>
              <w:t>（第二</w:t>
            </w:r>
            <w:r w:rsidR="00FD4F64" w:rsidRPr="00FD4F64">
              <w:rPr>
                <w:rFonts w:ascii="標楷體" w:eastAsia="標楷體" w:hAnsi="標楷體" w:hint="eastAsia"/>
                <w:snapToGrid w:val="0"/>
                <w:color w:val="FF0000"/>
                <w:kern w:val="0"/>
                <w:szCs w:val="20"/>
              </w:rPr>
              <w:t>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FD4F64" w:rsidRDefault="00F63B6A" w:rsidP="00F63B6A">
            <w:pPr>
              <w:spacing w:line="260" w:lineRule="exact"/>
              <w:jc w:val="both"/>
              <w:rPr>
                <w:color w:val="FF0000"/>
                <w:sz w:val="20"/>
                <w:szCs w:val="20"/>
              </w:rPr>
            </w:pPr>
            <w:r w:rsidRPr="00FD4F64">
              <w:rPr>
                <w:rFonts w:ascii="標楷體" w:eastAsia="標楷體" w:hAnsi="標楷體" w:hint="eastAsia"/>
                <w:color w:val="FF0000"/>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Pr="00FD4F64" w:rsidRDefault="00F63B6A" w:rsidP="00F63B6A">
            <w:pPr>
              <w:spacing w:line="260" w:lineRule="exact"/>
              <w:jc w:val="both"/>
              <w:rPr>
                <w:color w:val="FF0000"/>
                <w:sz w:val="20"/>
                <w:szCs w:val="20"/>
              </w:rPr>
            </w:pPr>
            <w:r w:rsidRPr="00FD4F64">
              <w:rPr>
                <w:rFonts w:ascii="標楷體" w:eastAsia="標楷體" w:hAnsi="標楷體" w:hint="eastAsia"/>
                <w:color w:val="FF0000"/>
                <w:szCs w:val="20"/>
              </w:rPr>
              <w:t>輔Ab-IV-1 少年身心發展與調適。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單元3</w:t>
            </w:r>
            <w:r>
              <w:rPr>
                <w:rFonts w:ascii="標楷體" w:eastAsia="標楷體" w:hAnsi="標楷體" w:hint="eastAsia"/>
                <w:bCs/>
                <w:szCs w:val="20"/>
              </w:rPr>
              <w:t>畢業進行式</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2d-Ⅳ-1 運用創新能力，規劃合宜的活動，豐富個人及家庭生活。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輔Bc-Ⅳ-1 主動探究問題，高層次思考的培養與創新能力的運用。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口語評量—問答、口頭報告、小組討論</w:t>
            </w:r>
          </w:p>
          <w:p w:rsidR="00F63B6A" w:rsidRDefault="00F63B6A" w:rsidP="00F63B6A">
            <w:pPr>
              <w:spacing w:line="260" w:lineRule="exact"/>
              <w:jc w:val="both"/>
              <w:rPr>
                <w:kern w:val="2"/>
                <w:sz w:val="20"/>
                <w:szCs w:val="20"/>
              </w:rPr>
            </w:pPr>
            <w:r>
              <w:rPr>
                <w:rFonts w:ascii="標楷體" w:eastAsia="標楷體" w:hAnsi="標楷體" w:hint="eastAsia"/>
                <w:snapToGrid w:val="0"/>
                <w:kern w:val="0"/>
                <w:szCs w:val="20"/>
              </w:rPr>
              <w:t>高層次紙筆評量—書面心得</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【生涯規劃教育】</w:t>
            </w:r>
          </w:p>
          <w:p w:rsidR="00F63B6A" w:rsidRDefault="00F63B6A" w:rsidP="00F63B6A">
            <w:pPr>
              <w:spacing w:line="260" w:lineRule="exact"/>
              <w:jc w:val="both"/>
              <w:rPr>
                <w:sz w:val="20"/>
                <w:szCs w:val="20"/>
              </w:rPr>
            </w:pPr>
            <w:r>
              <w:rPr>
                <w:rFonts w:ascii="標楷體" w:eastAsia="標楷體" w:hAnsi="標楷體" w:hint="eastAsia"/>
                <w:szCs w:val="20"/>
              </w:rPr>
              <w:t>涯J6 建立對於未來生涯的願景。</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z w:val="20"/>
                <w:szCs w:val="20"/>
              </w:rPr>
            </w:pPr>
            <w:r>
              <w:rPr>
                <w:rFonts w:ascii="標楷體" w:eastAsia="標楷體" w:hAnsi="標楷體" w:hint="eastAsia"/>
                <w:bCs/>
                <w:snapToGrid w:val="0"/>
                <w:kern w:val="0"/>
                <w:szCs w:val="20"/>
              </w:rPr>
              <w:t>單元3</w:t>
            </w:r>
            <w:r>
              <w:rPr>
                <w:rFonts w:ascii="標楷體" w:eastAsia="標楷體" w:hAnsi="標楷體" w:hint="eastAsia"/>
                <w:bCs/>
                <w:szCs w:val="20"/>
              </w:rPr>
              <w:t>畢業進行式</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2d-Ⅳ-1 運用創新能力，規劃合宜的活動，豐富個人及家庭生活。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輔Bc-Ⅳ-1 主動探究問題，高層次思考的培養與創新能力的運用。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口語評量—問答、口頭報告、小組討論</w:t>
            </w:r>
          </w:p>
          <w:p w:rsidR="00F63B6A" w:rsidRDefault="00F63B6A" w:rsidP="00F63B6A">
            <w:pPr>
              <w:spacing w:line="260" w:lineRule="exact"/>
              <w:jc w:val="both"/>
              <w:rPr>
                <w:kern w:val="2"/>
                <w:sz w:val="20"/>
                <w:szCs w:val="20"/>
              </w:rPr>
            </w:pPr>
            <w:r>
              <w:rPr>
                <w:rFonts w:ascii="標楷體" w:eastAsia="標楷體" w:hAnsi="標楷體" w:hint="eastAsia"/>
                <w:snapToGrid w:val="0"/>
                <w:kern w:val="0"/>
                <w:szCs w:val="20"/>
              </w:rPr>
              <w:t>高層次紙筆評量—書面心得</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sz w:val="20"/>
                <w:szCs w:val="20"/>
              </w:rPr>
            </w:pPr>
            <w:r>
              <w:rPr>
                <w:rFonts w:ascii="標楷體" w:eastAsia="標楷體" w:hAnsi="標楷體" w:hint="eastAsia"/>
                <w:b/>
                <w:bCs/>
                <w:szCs w:val="20"/>
              </w:rPr>
              <w:t>【生涯規劃教育】</w:t>
            </w:r>
          </w:p>
          <w:p w:rsidR="00F63B6A" w:rsidRDefault="00F63B6A" w:rsidP="00F63B6A">
            <w:pPr>
              <w:spacing w:line="260" w:lineRule="exact"/>
              <w:jc w:val="both"/>
              <w:rPr>
                <w:sz w:val="20"/>
                <w:szCs w:val="20"/>
              </w:rPr>
            </w:pPr>
            <w:r>
              <w:rPr>
                <w:rFonts w:ascii="標楷體" w:eastAsia="標楷體" w:hAnsi="標楷體" w:hint="eastAsia"/>
                <w:szCs w:val="20"/>
              </w:rPr>
              <w:t>涯J6 建立對於未來生涯的願景。</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bCs/>
                <w:snapToGrid w:val="0"/>
                <w:kern w:val="0"/>
                <w:szCs w:val="20"/>
              </w:rPr>
              <w:t>主題六</w:t>
            </w:r>
            <w:r>
              <w:rPr>
                <w:rFonts w:ascii="標楷體" w:eastAsia="標楷體" w:hAnsi="標楷體" w:hint="eastAsia"/>
                <w:bCs/>
                <w:szCs w:val="20"/>
              </w:rPr>
              <w:t>生命齊步走</w:t>
            </w:r>
          </w:p>
          <w:p w:rsidR="00F63B6A" w:rsidRDefault="00F63B6A" w:rsidP="00F63B6A">
            <w:pPr>
              <w:spacing w:line="260" w:lineRule="exact"/>
              <w:jc w:val="both"/>
              <w:rPr>
                <w:snapToGrid w:val="0"/>
                <w:kern w:val="0"/>
                <w:sz w:val="20"/>
                <w:szCs w:val="20"/>
              </w:rPr>
            </w:pPr>
            <w:r>
              <w:rPr>
                <w:rFonts w:ascii="標楷體" w:eastAsia="標楷體" w:hAnsi="標楷體" w:hint="eastAsia"/>
                <w:bCs/>
                <w:snapToGrid w:val="0"/>
                <w:kern w:val="0"/>
                <w:szCs w:val="20"/>
              </w:rPr>
              <w:t>單元3</w:t>
            </w:r>
            <w:r>
              <w:rPr>
                <w:rFonts w:ascii="標楷體" w:eastAsia="標楷體" w:hAnsi="標楷體" w:hint="eastAsia"/>
                <w:bCs/>
                <w:szCs w:val="20"/>
              </w:rPr>
              <w:t>畢業進行式</w:t>
            </w:r>
            <w:r>
              <w:rPr>
                <w:rFonts w:ascii="標楷體" w:eastAsia="標楷體" w:hAnsi="標楷體" w:hint="eastAsia"/>
                <w:snapToGrid w:val="0"/>
                <w:kern w:val="0"/>
                <w:szCs w:val="20"/>
              </w:rPr>
              <w:t>（輔導）</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szCs w:val="20"/>
              </w:rPr>
              <w:t>2d-Ⅳ-1 運用創新能力，規劃合宜的活動，豐富個人及家庭生活。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輔Bc-Ⅳ-1 主動探究問題，高層次思考的培養與創新能力的運用。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口語評量—問答、口頭報告、小組討論</w:t>
            </w:r>
          </w:p>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高層次紙筆評量—書面心得</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bCs/>
                <w:kern w:val="2"/>
                <w:sz w:val="20"/>
                <w:szCs w:val="20"/>
              </w:rPr>
            </w:pPr>
            <w:r>
              <w:rPr>
                <w:rFonts w:ascii="標楷體" w:eastAsia="標楷體" w:hAnsi="標楷體" w:hint="eastAsia"/>
                <w:b/>
                <w:bCs/>
                <w:szCs w:val="20"/>
              </w:rPr>
              <w:t>【生涯規劃教育】</w:t>
            </w:r>
          </w:p>
          <w:p w:rsidR="00F63B6A" w:rsidRDefault="00F63B6A" w:rsidP="00F63B6A">
            <w:pPr>
              <w:spacing w:line="260" w:lineRule="exact"/>
              <w:jc w:val="both"/>
              <w:rPr>
                <w:sz w:val="20"/>
                <w:szCs w:val="20"/>
              </w:rPr>
            </w:pPr>
            <w:r>
              <w:rPr>
                <w:rFonts w:ascii="標楷體" w:eastAsia="標楷體" w:hAnsi="標楷體" w:hint="eastAsia"/>
                <w:szCs w:val="20"/>
              </w:rPr>
              <w:t>涯J6 建立對於未來生涯的願景。</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bCs/>
                <w:szCs w:val="20"/>
              </w:rPr>
              <w:t>社會領域公民與社會科</w:t>
            </w:r>
          </w:p>
        </w:tc>
      </w:tr>
      <w:tr w:rsidR="00F63B6A"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63B6A" w:rsidRPr="00011F91" w:rsidRDefault="00F63B6A" w:rsidP="00F63B6A">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Cs/>
                <w:snapToGrid w:val="0"/>
                <w:kern w:val="0"/>
                <w:sz w:val="20"/>
                <w:szCs w:val="20"/>
              </w:rPr>
            </w:pPr>
            <w:r>
              <w:rPr>
                <w:rFonts w:ascii="標楷體" w:eastAsia="標楷體" w:hAnsi="標楷體" w:hint="eastAsia"/>
                <w:snapToGrid w:val="0"/>
                <w:kern w:val="0"/>
                <w:szCs w:val="20"/>
              </w:rPr>
              <w:t>輔導</w:t>
            </w:r>
          </w:p>
          <w:p w:rsidR="00F63B6A" w:rsidRDefault="00F63B6A" w:rsidP="00F63B6A">
            <w:pPr>
              <w:spacing w:line="260" w:lineRule="exact"/>
              <w:jc w:val="both"/>
              <w:rPr>
                <w:kern w:val="2"/>
                <w:sz w:val="20"/>
                <w:szCs w:val="20"/>
              </w:rPr>
            </w:pPr>
            <w:r>
              <w:rPr>
                <w:rFonts w:ascii="標楷體" w:eastAsia="標楷體" w:hAnsi="標楷體" w:hint="eastAsia"/>
                <w:snapToGrid w:val="0"/>
                <w:kern w:val="0"/>
                <w:szCs w:val="20"/>
              </w:rPr>
              <w:t>繪本與我的世界</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z w:val="20"/>
                <w:szCs w:val="20"/>
              </w:rPr>
            </w:pPr>
            <w:r>
              <w:rPr>
                <w:rFonts w:ascii="標楷體" w:eastAsia="標楷體" w:hAnsi="標楷體" w:hint="eastAsia"/>
                <w:szCs w:val="20"/>
              </w:rPr>
              <w:t>1a-IV-1 探索自我與家庭發展的過程，覺察並分析影響個人成長因素及調適方法。</w:t>
            </w:r>
          </w:p>
          <w:p w:rsidR="00F63B6A" w:rsidRDefault="00F63B6A" w:rsidP="00F63B6A">
            <w:pPr>
              <w:spacing w:line="260" w:lineRule="exact"/>
              <w:jc w:val="both"/>
              <w:rPr>
                <w:sz w:val="20"/>
                <w:szCs w:val="20"/>
              </w:rPr>
            </w:pPr>
            <w:r>
              <w:rPr>
                <w:rFonts w:ascii="標楷體" w:eastAsia="標楷體" w:hAnsi="標楷體" w:hint="eastAsia"/>
                <w:szCs w:val="20"/>
              </w:rPr>
              <w:t>1a-IV-2 展現自己的興趣與多元</w:t>
            </w:r>
            <w:r>
              <w:rPr>
                <w:rFonts w:ascii="標楷體" w:eastAsia="標楷體" w:hAnsi="標楷體" w:hint="eastAsia"/>
                <w:szCs w:val="20"/>
              </w:rPr>
              <w:lastRenderedPageBreak/>
              <w:t>能力，接納自我，以促進個人成長。</w:t>
            </w:r>
          </w:p>
          <w:p w:rsidR="00F63B6A" w:rsidRDefault="00F63B6A" w:rsidP="00F63B6A">
            <w:pPr>
              <w:spacing w:line="260" w:lineRule="exact"/>
              <w:jc w:val="both"/>
              <w:rPr>
                <w:sz w:val="20"/>
                <w:szCs w:val="20"/>
              </w:rPr>
            </w:pPr>
            <w:r>
              <w:rPr>
                <w:rFonts w:ascii="標楷體" w:eastAsia="標楷體" w:hAnsi="標楷體" w:hint="eastAsia"/>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lastRenderedPageBreak/>
              <w:t>輔Aa-IV-1 自我探索的方法、經驗與態度。</w:t>
            </w:r>
          </w:p>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輔Aa-IV-2 自我悅納、尊重差異與自我成長。</w:t>
            </w:r>
          </w:p>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lastRenderedPageBreak/>
              <w:t>輔Ac-IV-1 生命歷程、生命意義與價值的探索。</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lastRenderedPageBreak/>
              <w:t>1.課程討論</w:t>
            </w:r>
          </w:p>
          <w:p w:rsidR="00F63B6A" w:rsidRDefault="00F63B6A" w:rsidP="00F63B6A">
            <w:pPr>
              <w:spacing w:line="260" w:lineRule="exact"/>
              <w:jc w:val="both"/>
              <w:rPr>
                <w:snapToGrid w:val="0"/>
                <w:kern w:val="0"/>
                <w:sz w:val="20"/>
                <w:szCs w:val="20"/>
              </w:rPr>
            </w:pPr>
            <w:r>
              <w:rPr>
                <w:rFonts w:ascii="標楷體" w:eastAsia="標楷體" w:hAnsi="標楷體" w:hint="eastAsia"/>
                <w:snapToGrid w:val="0"/>
                <w:kern w:val="0"/>
                <w:szCs w:val="20"/>
              </w:rPr>
              <w:t>2.分組分享</w:t>
            </w:r>
          </w:p>
          <w:p w:rsidR="00F63B6A" w:rsidRDefault="00F63B6A" w:rsidP="00F63B6A">
            <w:pPr>
              <w:spacing w:line="260" w:lineRule="exact"/>
              <w:jc w:val="both"/>
              <w:rPr>
                <w:kern w:val="2"/>
                <w:sz w:val="20"/>
                <w:szCs w:val="20"/>
              </w:rPr>
            </w:pPr>
            <w:r>
              <w:rPr>
                <w:rFonts w:ascii="標楷體" w:eastAsia="標楷體" w:hAnsi="標楷體" w:hint="eastAsia"/>
                <w:snapToGrid w:val="0"/>
                <w:kern w:val="0"/>
                <w:szCs w:val="20"/>
              </w:rPr>
              <w:t>3.課堂活動參與</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63B6A" w:rsidRDefault="00F63B6A" w:rsidP="00F63B6A">
            <w:pPr>
              <w:spacing w:line="260" w:lineRule="exact"/>
              <w:jc w:val="both"/>
              <w:rPr>
                <w:b/>
                <w:snapToGrid w:val="0"/>
                <w:kern w:val="0"/>
                <w:sz w:val="20"/>
                <w:szCs w:val="20"/>
              </w:rPr>
            </w:pPr>
            <w:r>
              <w:rPr>
                <w:rFonts w:ascii="標楷體" w:eastAsia="標楷體" w:hAnsi="標楷體" w:hint="eastAsia"/>
                <w:b/>
                <w:snapToGrid w:val="0"/>
                <w:kern w:val="0"/>
                <w:szCs w:val="20"/>
              </w:rPr>
              <w:t>【生涯發展教育】</w:t>
            </w:r>
          </w:p>
          <w:p w:rsidR="00F63B6A" w:rsidRDefault="00F63B6A" w:rsidP="00F63B6A">
            <w:pPr>
              <w:spacing w:line="260" w:lineRule="exact"/>
              <w:jc w:val="both"/>
              <w:rPr>
                <w:bCs/>
                <w:snapToGrid w:val="0"/>
                <w:color w:val="000000"/>
                <w:kern w:val="0"/>
                <w:sz w:val="20"/>
                <w:szCs w:val="20"/>
              </w:rPr>
            </w:pPr>
            <w:r>
              <w:rPr>
                <w:rFonts w:ascii="標楷體" w:eastAsia="標楷體" w:hAnsi="標楷體" w:hint="eastAsia"/>
                <w:snapToGrid w:val="0"/>
                <w:kern w:val="0"/>
                <w:szCs w:val="20"/>
              </w:rPr>
              <w:t>涯J3 覺察自己的能力與興趣。</w:t>
            </w:r>
          </w:p>
          <w:p w:rsidR="00F63B6A" w:rsidRDefault="00F63B6A" w:rsidP="00F63B6A">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涯J4 了解自己的人格特質與價值觀。</w:t>
            </w:r>
          </w:p>
          <w:p w:rsidR="00F63B6A" w:rsidRDefault="00F63B6A" w:rsidP="00F63B6A">
            <w:pPr>
              <w:spacing w:line="260" w:lineRule="exact"/>
              <w:jc w:val="both"/>
              <w:rPr>
                <w:b/>
                <w:snapToGrid w:val="0"/>
                <w:kern w:val="0"/>
                <w:sz w:val="20"/>
                <w:szCs w:val="20"/>
              </w:rPr>
            </w:pPr>
            <w:r>
              <w:rPr>
                <w:rFonts w:ascii="標楷體" w:eastAsia="標楷體" w:hAnsi="標楷體" w:hint="eastAsia"/>
                <w:b/>
                <w:snapToGrid w:val="0"/>
                <w:kern w:val="0"/>
                <w:szCs w:val="20"/>
              </w:rPr>
              <w:t>【家庭教育】</w:t>
            </w:r>
          </w:p>
          <w:p w:rsidR="00F63B6A" w:rsidRDefault="00F63B6A" w:rsidP="00F63B6A">
            <w:pPr>
              <w:spacing w:line="260" w:lineRule="exact"/>
              <w:jc w:val="both"/>
              <w:rPr>
                <w:bCs/>
                <w:snapToGrid w:val="0"/>
                <w:color w:val="000000"/>
                <w:kern w:val="0"/>
                <w:sz w:val="20"/>
                <w:szCs w:val="20"/>
              </w:rPr>
            </w:pPr>
            <w:r>
              <w:rPr>
                <w:rFonts w:ascii="標楷體" w:eastAsia="標楷體" w:hAnsi="標楷體" w:hint="eastAsia"/>
                <w:snapToGrid w:val="0"/>
                <w:kern w:val="0"/>
                <w:szCs w:val="20"/>
              </w:rPr>
              <w:lastRenderedPageBreak/>
              <w:t>家J3 了解人際交往、親密關係的發展，以及溝通與衝突處理。</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3B6A" w:rsidRDefault="00F63B6A" w:rsidP="00F63B6A">
            <w:pPr>
              <w:spacing w:line="260" w:lineRule="exact"/>
              <w:jc w:val="both"/>
              <w:rPr>
                <w:kern w:val="2"/>
                <w:sz w:val="20"/>
                <w:szCs w:val="20"/>
              </w:rPr>
            </w:pPr>
            <w:r>
              <w:rPr>
                <w:rFonts w:ascii="標楷體" w:eastAsia="標楷體" w:hAnsi="標楷體" w:hint="eastAsia"/>
                <w:bCs/>
                <w:snapToGrid w:val="0"/>
                <w:kern w:val="0"/>
                <w:szCs w:val="20"/>
              </w:rPr>
              <w:lastRenderedPageBreak/>
              <w:t>藝術與人文領域</w:t>
            </w:r>
          </w:p>
        </w:tc>
      </w:tr>
      <w:tr w:rsidR="00A23BFE"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63B6A" w:rsidRDefault="00F63B6A" w:rsidP="00F63B6A">
            <w:pPr>
              <w:jc w:val="both"/>
              <w:rPr>
                <w:kern w:val="2"/>
              </w:rPr>
            </w:pPr>
            <w:r>
              <w:rPr>
                <w:rFonts w:ascii="標楷體" w:eastAsia="標楷體" w:hAnsi="標楷體" w:cs="新細明體" w:hint="eastAsia"/>
                <w:kern w:val="0"/>
                <w:szCs w:val="24"/>
              </w:rPr>
              <w:t>課本、網路設備</w:t>
            </w:r>
          </w:p>
          <w:p w:rsidR="00F63B6A" w:rsidRDefault="00F63B6A" w:rsidP="00F63B6A">
            <w:pPr>
              <w:jc w:val="both"/>
            </w:pPr>
            <w:r>
              <w:rPr>
                <w:rFonts w:ascii="標楷體" w:eastAsia="標楷體" w:hAnsi="標楷體" w:cs="新細明體" w:hint="eastAsia"/>
                <w:kern w:val="0"/>
                <w:szCs w:val="24"/>
              </w:rPr>
              <w:t>繪本或相關影音資源</w:t>
            </w:r>
          </w:p>
          <w:p w:rsidR="00F63B6A" w:rsidRDefault="00F63B6A" w:rsidP="00F63B6A">
            <w:pPr>
              <w:jc w:val="both"/>
            </w:pPr>
            <w:r>
              <w:rPr>
                <w:rFonts w:ascii="標楷體" w:eastAsia="標楷體" w:hAnsi="標楷體" w:cs="新細明體" w:hint="eastAsia"/>
                <w:kern w:val="0"/>
                <w:szCs w:val="24"/>
              </w:rPr>
              <w:t>影片播放設備</w:t>
            </w:r>
          </w:p>
          <w:p w:rsidR="00F63B6A" w:rsidRDefault="00F63B6A" w:rsidP="00F63B6A">
            <w:pPr>
              <w:jc w:val="both"/>
              <w:rPr>
                <w:rFonts w:ascii="標楷體" w:eastAsia="標楷體" w:hAnsi="標楷體" w:cs="新細明體"/>
                <w:kern w:val="0"/>
                <w:szCs w:val="24"/>
              </w:rPr>
            </w:pPr>
            <w:r>
              <w:rPr>
                <w:rFonts w:ascii="標楷體" w:eastAsia="標楷體" w:hAnsi="標楷體" w:cs="新細明體" w:hint="eastAsia"/>
                <w:kern w:val="0"/>
                <w:szCs w:val="24"/>
              </w:rPr>
              <w:t>單槍、電腦設備、分組活動場地</w:t>
            </w:r>
          </w:p>
          <w:p w:rsidR="00A23BFE" w:rsidRPr="00CE349F" w:rsidRDefault="00F63B6A" w:rsidP="00F63B6A">
            <w:pPr>
              <w:jc w:val="both"/>
              <w:rPr>
                <w:rFonts w:ascii="標楷體" w:eastAsia="標楷體" w:hAnsi="標楷體" w:cs="新細明體"/>
                <w:kern w:val="0"/>
                <w:szCs w:val="24"/>
              </w:rPr>
            </w:pPr>
            <w:r>
              <w:rPr>
                <w:rFonts w:ascii="標楷體" w:eastAsia="標楷體" w:hAnsi="標楷體" w:cs="新細明體" w:hint="eastAsia"/>
                <w:kern w:val="0"/>
                <w:szCs w:val="24"/>
              </w:rPr>
              <w:t>課程所需道具與文件</w:t>
            </w:r>
          </w:p>
        </w:tc>
      </w:tr>
      <w:tr w:rsidR="006534F5"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961" w:rsidRDefault="008A4961">
      <w:r>
        <w:separator/>
      </w:r>
    </w:p>
  </w:endnote>
  <w:endnote w:type="continuationSeparator" w:id="0">
    <w:p w:rsidR="008A4961" w:rsidRDefault="008A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E07A23">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961" w:rsidRDefault="008A4961">
      <w:r>
        <w:separator/>
      </w:r>
    </w:p>
  </w:footnote>
  <w:footnote w:type="continuationSeparator" w:id="0">
    <w:p w:rsidR="008A4961" w:rsidRDefault="008A4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102951"/>
    <w:rsid w:val="00124D60"/>
    <w:rsid w:val="0015247A"/>
    <w:rsid w:val="002422A1"/>
    <w:rsid w:val="00270C00"/>
    <w:rsid w:val="00306176"/>
    <w:rsid w:val="00371508"/>
    <w:rsid w:val="00475C87"/>
    <w:rsid w:val="004A6F4B"/>
    <w:rsid w:val="004D1621"/>
    <w:rsid w:val="00503C8B"/>
    <w:rsid w:val="00506A8A"/>
    <w:rsid w:val="0056523A"/>
    <w:rsid w:val="005A26CF"/>
    <w:rsid w:val="00617511"/>
    <w:rsid w:val="00643DD4"/>
    <w:rsid w:val="006534F5"/>
    <w:rsid w:val="00691701"/>
    <w:rsid w:val="00746A20"/>
    <w:rsid w:val="00751DA4"/>
    <w:rsid w:val="00772802"/>
    <w:rsid w:val="008239E0"/>
    <w:rsid w:val="008809C7"/>
    <w:rsid w:val="008A1453"/>
    <w:rsid w:val="008A4961"/>
    <w:rsid w:val="008C7343"/>
    <w:rsid w:val="008D1D19"/>
    <w:rsid w:val="0094644A"/>
    <w:rsid w:val="00957FA7"/>
    <w:rsid w:val="009929C1"/>
    <w:rsid w:val="009A7B2F"/>
    <w:rsid w:val="00A0151C"/>
    <w:rsid w:val="00A23BFE"/>
    <w:rsid w:val="00B60518"/>
    <w:rsid w:val="00B80504"/>
    <w:rsid w:val="00CB6754"/>
    <w:rsid w:val="00D03C1F"/>
    <w:rsid w:val="00D821CD"/>
    <w:rsid w:val="00D96B70"/>
    <w:rsid w:val="00DD7419"/>
    <w:rsid w:val="00DF7057"/>
    <w:rsid w:val="00E02E03"/>
    <w:rsid w:val="00E07A23"/>
    <w:rsid w:val="00E200E7"/>
    <w:rsid w:val="00EC24EA"/>
    <w:rsid w:val="00EC58A1"/>
    <w:rsid w:val="00F52F50"/>
    <w:rsid w:val="00F631AA"/>
    <w:rsid w:val="00F63B6A"/>
    <w:rsid w:val="00F94EB4"/>
    <w:rsid w:val="00FD4F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E72CDC"/>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uiPriority w:val="99"/>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1761">
      <w:bodyDiv w:val="1"/>
      <w:marLeft w:val="0"/>
      <w:marRight w:val="0"/>
      <w:marTop w:val="0"/>
      <w:marBottom w:val="0"/>
      <w:divBdr>
        <w:top w:val="none" w:sz="0" w:space="0" w:color="auto"/>
        <w:left w:val="none" w:sz="0" w:space="0" w:color="auto"/>
        <w:bottom w:val="none" w:sz="0" w:space="0" w:color="auto"/>
        <w:right w:val="none" w:sz="0" w:space="0" w:color="auto"/>
      </w:divBdr>
    </w:div>
    <w:div w:id="873351954">
      <w:bodyDiv w:val="1"/>
      <w:marLeft w:val="0"/>
      <w:marRight w:val="0"/>
      <w:marTop w:val="0"/>
      <w:marBottom w:val="0"/>
      <w:divBdr>
        <w:top w:val="none" w:sz="0" w:space="0" w:color="auto"/>
        <w:left w:val="none" w:sz="0" w:space="0" w:color="auto"/>
        <w:bottom w:val="none" w:sz="0" w:space="0" w:color="auto"/>
        <w:right w:val="none" w:sz="0" w:space="0" w:color="auto"/>
      </w:divBdr>
    </w:div>
    <w:div w:id="902375440">
      <w:bodyDiv w:val="1"/>
      <w:marLeft w:val="0"/>
      <w:marRight w:val="0"/>
      <w:marTop w:val="0"/>
      <w:marBottom w:val="0"/>
      <w:divBdr>
        <w:top w:val="none" w:sz="0" w:space="0" w:color="auto"/>
        <w:left w:val="none" w:sz="0" w:space="0" w:color="auto"/>
        <w:bottom w:val="none" w:sz="0" w:space="0" w:color="auto"/>
        <w:right w:val="none" w:sz="0" w:space="0" w:color="auto"/>
      </w:divBdr>
    </w:div>
    <w:div w:id="1149979418">
      <w:bodyDiv w:val="1"/>
      <w:marLeft w:val="0"/>
      <w:marRight w:val="0"/>
      <w:marTop w:val="0"/>
      <w:marBottom w:val="0"/>
      <w:divBdr>
        <w:top w:val="none" w:sz="0" w:space="0" w:color="auto"/>
        <w:left w:val="none" w:sz="0" w:space="0" w:color="auto"/>
        <w:bottom w:val="none" w:sz="0" w:space="0" w:color="auto"/>
        <w:right w:val="none" w:sz="0" w:space="0" w:color="auto"/>
      </w:divBdr>
    </w:div>
    <w:div w:id="1284191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1417</Words>
  <Characters>8077</Characters>
  <Application>Microsoft Office Word</Application>
  <DocSecurity>0</DocSecurity>
  <Lines>67</Lines>
  <Paragraphs>18</Paragraphs>
  <ScaleCrop>false</ScaleCrop>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17</cp:revision>
  <dcterms:created xsi:type="dcterms:W3CDTF">2022-05-10T04:49:00Z</dcterms:created>
  <dcterms:modified xsi:type="dcterms:W3CDTF">2022-07-07T13:20:00Z</dcterms:modified>
</cp:coreProperties>
</file>