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8" w:rsidRDefault="004A59A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r w:rsidRPr="004A59A1">
        <w:rPr>
          <w:rFonts w:ascii="標楷體" w:eastAsia="標楷體" w:hAnsi="標楷體" w:cs="標楷體" w:hint="eastAsia"/>
          <w:color w:val="000000"/>
          <w:sz w:val="32"/>
          <w:szCs w:val="32"/>
        </w:rPr>
        <w:t>臺北市私立延平高級中學(國中部)  111學年度彈性學習課程計畫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□統整性主題/專題/議題探究課程</w:t>
            </w:r>
          </w:p>
          <w:p w:rsidR="00F676A8" w:rsidRDefault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4A59A1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b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b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A59A1" w:rsidRDefault="004A59A1" w:rsidP="004A59A1">
            <w:pPr>
              <w:pStyle w:val="1a"/>
              <w:snapToGrid w:val="0"/>
              <w:spacing w:line="400" w:lineRule="exact"/>
              <w:jc w:val="both"/>
            </w:pP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b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9A1" w:rsidRPr="00DC5984" w:rsidRDefault="004A59A1" w:rsidP="004A59A1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5E5E90" w:rsidTr="00AA734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5E5E90" w:rsidTr="009E3708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  <w:bookmarkStart w:id="0" w:name="_GoBack"/>
            <w:bookmarkEnd w:id="0"/>
          </w:p>
          <w:p w:rsidR="005E5E90" w:rsidRPr="00DC5984" w:rsidRDefault="005E5E90" w:rsidP="005E5E90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5E5E90" w:rsidRPr="00DC5984" w:rsidRDefault="005E5E90" w:rsidP="005E5E90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CD2605" w:rsidTr="008D713D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1</w:t>
            </w:r>
            <w:r w:rsidRPr="001E4A79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2</w:t>
            </w:r>
            <w:r w:rsidRPr="001E4A79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3</w:t>
            </w:r>
            <w:r w:rsidRPr="001E4A79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4</w:t>
            </w:r>
            <w:r w:rsidRPr="001E4A79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5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A79">
              <w:rPr>
                <w:rFonts w:ascii="標楷體" w:eastAsia="標楷體" w:hAnsi="標楷體"/>
                <w:szCs w:val="24"/>
              </w:rPr>
              <w:t>6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7</w:t>
            </w:r>
            <w:r w:rsidRPr="001E4A79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:rsidR="00CD2605" w:rsidRPr="001E4A79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8</w:t>
            </w:r>
            <w:r w:rsidRPr="001E4A79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CD2605" w:rsidTr="00905661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CD2605" w:rsidRDefault="00CD2605" w:rsidP="00CD2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2605" w:rsidRPr="00184DB2" w:rsidRDefault="00CD2605" w:rsidP="00CD2605">
            <w:pPr>
              <w:pStyle w:val="1a"/>
              <w:spacing w:line="40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1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.休閒運動動作組合及團隊戰術的綜合應用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  <w:p w:rsidR="00CD2605" w:rsidRPr="00184DB2" w:rsidRDefault="00CD2605" w:rsidP="00CD2605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2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.學生展演</w:t>
            </w:r>
            <w:r>
              <w:rPr>
                <w:rFonts w:ascii="標楷體" w:eastAsia="標楷體" w:hAnsi="標楷體" w:hint="eastAsia"/>
                <w:color w:val="FF0000"/>
              </w:rPr>
              <w:t>自我及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文化鑑賞能力。</w:t>
            </w:r>
          </w:p>
          <w:p w:rsidR="00CD2605" w:rsidRPr="00184DB2" w:rsidRDefault="00CD2605" w:rsidP="00CD2605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3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.學生自我管理</w:t>
            </w:r>
            <w:r>
              <w:rPr>
                <w:rFonts w:ascii="標楷體" w:eastAsia="標楷體" w:hAnsi="標楷體" w:hint="eastAsia"/>
                <w:color w:val="FF0000"/>
              </w:rPr>
              <w:t>能力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與</w:t>
            </w:r>
            <w:r>
              <w:rPr>
                <w:rFonts w:ascii="標楷體" w:eastAsia="標楷體" w:hAnsi="標楷體" w:hint="eastAsia"/>
                <w:color w:val="FF0000"/>
              </w:rPr>
              <w:t>更佳的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學習效能。</w:t>
            </w:r>
          </w:p>
          <w:p w:rsidR="00CD2605" w:rsidRPr="00184DB2" w:rsidRDefault="00CD2605" w:rsidP="00CD2605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4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.服務學習的意義、價值與信念。</w:t>
            </w:r>
          </w:p>
          <w:p w:rsidR="00CD2605" w:rsidRPr="00184DB2" w:rsidRDefault="00CD2605" w:rsidP="00CD2605">
            <w:pPr>
              <w:pStyle w:val="1a"/>
              <w:suppressAutoHyphens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5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.與他人或群體互動的素養</w:t>
            </w:r>
            <w:r>
              <w:rPr>
                <w:rFonts w:ascii="標楷體" w:eastAsia="標楷體" w:hAnsi="標楷體" w:hint="eastAsia"/>
                <w:color w:val="FF0000"/>
              </w:rPr>
              <w:t>能力及</w:t>
            </w:r>
            <w:r w:rsidRPr="00184DB2">
              <w:rPr>
                <w:rFonts w:ascii="標楷體" w:eastAsia="標楷體" w:hAnsi="標楷體" w:hint="eastAsia"/>
                <w:color w:val="FF0000"/>
              </w:rPr>
              <w:t>適切的合作模式與人際關係。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5E5E90" w:rsidRPr="00DC5984" w:rsidRDefault="005E5E90" w:rsidP="005E5E90">
            <w:pPr>
              <w:pStyle w:val="ab"/>
              <w:numPr>
                <w:ilvl w:val="0"/>
                <w:numId w:val="5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5E5E90" w:rsidTr="00DA7FD2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5E90" w:rsidRDefault="005E5E90" w:rsidP="005E5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E90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</w:t>
            </w:r>
            <w:r>
              <w:rPr>
                <w:rFonts w:ascii="Times New Roman" w:eastAsia="標楷體" w:hAnsi="Times New Roman"/>
                <w:szCs w:val="24"/>
              </w:rPr>
              <w:t>1</w:t>
            </w:r>
            <w:r w:rsidR="005E5E90"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5E5E90" w:rsidRDefault="005E5E90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  <w:p w:rsidR="00932034" w:rsidRPr="00DC5984" w:rsidRDefault="00932034" w:rsidP="005E5E90">
            <w:pPr>
              <w:numPr>
                <w:ilvl w:val="0"/>
                <w:numId w:val="6"/>
              </w:numPr>
              <w:autoSpaceDN w:val="0"/>
              <w:spacing w:line="400" w:lineRule="exact"/>
              <w:ind w:left="317" w:hanging="317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F676A8" w:rsidTr="00DD5F7C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 w:rsidP="00DD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形成性評量(檢核點)/期末總結性</w:t>
            </w:r>
          </w:p>
        </w:tc>
      </w:tr>
      <w:tr w:rsidR="009C2BAE" w:rsidTr="00D400CE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  <w:proofErr w:type="gramEnd"/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吉他社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戲劇社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魔術社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造型氣球社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桌遊社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辯論社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圍棋社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生物研究社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健康體育社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籃球社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排球社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環保服務社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9C2BAE" w:rsidRDefault="009C2BAE" w:rsidP="009C2BAE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  <w:r w:rsidR="001112DB">
              <w:rPr>
                <w:rFonts w:ascii="Times New Roman" w:eastAsia="標楷體" w:hAnsi="Times New Roman" w:hint="eastAsia"/>
                <w:szCs w:val="24"/>
              </w:rPr>
              <w:t>(</w:t>
            </w:r>
            <w:proofErr w:type="gramStart"/>
            <w:r w:rsidR="001112DB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="001112DB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9C2BAE" w:rsidTr="00D400CE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AE" w:rsidRDefault="009C2BAE" w:rsidP="009C2BAE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AE" w:rsidRDefault="009C2BAE" w:rsidP="009C2BAE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2BAE" w:rsidRDefault="009C2BAE" w:rsidP="009C2BA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EA3169" w:rsidTr="004A59A1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3169" w:rsidRDefault="00EA3169" w:rsidP="00EA3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性 U1 肯定自我與接納他人的性傾向、性別特質與性別認同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性 U8 發展科技與資訊能力，不受性別的限制。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科 J3 了解選用適當材料及正確工具的基本知識。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科 J5 主動參與科技實作活動及職</w:t>
            </w:r>
            <w:proofErr w:type="gramStart"/>
            <w:r w:rsidRPr="00294A1E">
              <w:rPr>
                <w:rFonts w:ascii="標楷體" w:eastAsia="標楷體" w:hAnsi="標楷體"/>
              </w:rPr>
              <w:t>涯</w:t>
            </w:r>
            <w:proofErr w:type="gramEnd"/>
            <w:r w:rsidRPr="00294A1E">
              <w:rPr>
                <w:rFonts w:ascii="標楷體" w:eastAsia="標楷體" w:hAnsi="標楷體"/>
              </w:rPr>
              <w:t>的試探。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資 J14 具備探索資訊科技之興趣。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294A1E">
              <w:rPr>
                <w:rFonts w:ascii="標楷體" w:eastAsia="標楷體" w:hAnsi="標楷體"/>
              </w:rPr>
              <w:t>資 J3 設計資訊作品以解決生活問題。</w:t>
            </w:r>
          </w:p>
          <w:p w:rsidR="00EA3169" w:rsidRPr="00294A1E" w:rsidRDefault="00EA3169" w:rsidP="00EA3169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lastRenderedPageBreak/>
              <w:t>多 J8 探討不同文化接觸時可能產生的衝突、融合或創新。</w:t>
            </w:r>
          </w:p>
          <w:p w:rsidR="00EA3169" w:rsidRDefault="00EA3169" w:rsidP="00EA3169">
            <w:pPr>
              <w:suppressAutoHyphens w:val="0"/>
              <w:rPr>
                <w:rFonts w:ascii="標楷體" w:eastAsia="標楷體" w:hAnsi="標楷體"/>
              </w:rPr>
            </w:pPr>
            <w:r w:rsidRPr="00294A1E">
              <w:rPr>
                <w:rFonts w:ascii="標楷體" w:eastAsia="標楷體" w:hAnsi="標楷體"/>
              </w:rPr>
              <w:t>多 J11 增加實地體驗與行動學習，落實文化實踐力。</w:t>
            </w:r>
          </w:p>
          <w:p w:rsidR="00EA3169" w:rsidRDefault="00EA3169" w:rsidP="00EA3169">
            <w:pPr>
              <w:suppressAutoHyphens w:val="0"/>
            </w:pPr>
            <w:r w:rsidRPr="00294A1E">
              <w:rPr>
                <w:rFonts w:ascii="標楷體" w:eastAsia="標楷體" w:hAnsi="標楷體"/>
              </w:rPr>
              <w:t>戶 J2 從環境中捕獲心靈面的喜悅。</w:t>
            </w:r>
          </w:p>
        </w:tc>
      </w:tr>
      <w:tr w:rsidR="00EA2149" w:rsidTr="004A59A1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A2149" w:rsidRPr="00DC5984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EA2149" w:rsidRPr="002A300D" w:rsidRDefault="00EA2149" w:rsidP="00EA2149">
            <w:pPr>
              <w:numPr>
                <w:ilvl w:val="0"/>
                <w:numId w:val="8"/>
              </w:numPr>
              <w:autoSpaceDN w:val="0"/>
              <w:spacing w:line="400" w:lineRule="exact"/>
              <w:jc w:val="both"/>
              <w:textAlignment w:val="baseline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EA2149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EA2149" w:rsidRDefault="00EA2149" w:rsidP="00EA2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149" w:rsidRPr="00DC5984" w:rsidRDefault="00EA2149" w:rsidP="00EA2149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B569B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69B" w:rsidRDefault="008B569B" w:rsidP="008B56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69B" w:rsidRPr="00DC5984" w:rsidRDefault="008B569B" w:rsidP="008B569B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676A8" w:rsidTr="004A59A1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B36567">
      <w:footerReference w:type="default" r:id="rId8"/>
      <w:pgSz w:w="23814" w:h="16839" w:orient="landscape" w:code="8"/>
      <w:pgMar w:top="1134" w:right="1440" w:bottom="991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548" w:rsidRDefault="00F15548">
      <w:r>
        <w:separator/>
      </w:r>
    </w:p>
  </w:endnote>
  <w:endnote w:type="continuationSeparator" w:id="0">
    <w:p w:rsidR="00F15548" w:rsidRDefault="00F1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 Fan Heiti Std 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3927119"/>
      <w:docPartObj>
        <w:docPartGallery w:val="Page Numbers (Bottom of Page)"/>
        <w:docPartUnique/>
      </w:docPartObj>
    </w:sdtPr>
    <w:sdtContent>
      <w:p w:rsidR="00B36567" w:rsidRDefault="00B365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548" w:rsidRDefault="00F15548">
      <w:r>
        <w:separator/>
      </w:r>
    </w:p>
  </w:footnote>
  <w:footnote w:type="continuationSeparator" w:id="0">
    <w:p w:rsidR="00F15548" w:rsidRDefault="00F1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A8"/>
    <w:rsid w:val="00076376"/>
    <w:rsid w:val="000943CF"/>
    <w:rsid w:val="001112DB"/>
    <w:rsid w:val="00144BAE"/>
    <w:rsid w:val="00184DB2"/>
    <w:rsid w:val="001E4A79"/>
    <w:rsid w:val="00231E53"/>
    <w:rsid w:val="003235F0"/>
    <w:rsid w:val="004A59A1"/>
    <w:rsid w:val="005E5E90"/>
    <w:rsid w:val="00606AF9"/>
    <w:rsid w:val="006A78CC"/>
    <w:rsid w:val="00760F53"/>
    <w:rsid w:val="00775031"/>
    <w:rsid w:val="007E5A3D"/>
    <w:rsid w:val="008771FE"/>
    <w:rsid w:val="008B569B"/>
    <w:rsid w:val="008E5B82"/>
    <w:rsid w:val="00932034"/>
    <w:rsid w:val="009C2BAE"/>
    <w:rsid w:val="00AB546F"/>
    <w:rsid w:val="00B14965"/>
    <w:rsid w:val="00B36567"/>
    <w:rsid w:val="00B90D67"/>
    <w:rsid w:val="00CD2605"/>
    <w:rsid w:val="00D813C1"/>
    <w:rsid w:val="00DD5F7C"/>
    <w:rsid w:val="00E01BD0"/>
    <w:rsid w:val="00EA2149"/>
    <w:rsid w:val="00EA3169"/>
    <w:rsid w:val="00F15548"/>
    <w:rsid w:val="00F23888"/>
    <w:rsid w:val="00F676A8"/>
    <w:rsid w:val="00F760C2"/>
    <w:rsid w:val="00FC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26D66"/>
  <w15:docId w15:val="{1913B974-3368-4F99-8C56-8E4EFD7B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uiPriority w:val="99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項目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23</cp:revision>
  <dcterms:created xsi:type="dcterms:W3CDTF">2021-04-16T09:13:00Z</dcterms:created>
  <dcterms:modified xsi:type="dcterms:W3CDTF">2022-09-14T09:32:00Z</dcterms:modified>
</cp:coreProperties>
</file>